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75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904"/>
        <w:gridCol w:w="5186"/>
        <w:gridCol w:w="1668"/>
      </w:tblGrid>
      <w:tr w:rsidR="00A23F48" w:rsidRPr="00D03F2E" w14:paraId="30920A1D" w14:textId="77777777" w:rsidTr="00D03F2E">
        <w:trPr>
          <w:trHeight w:val="3089"/>
        </w:trPr>
        <w:tc>
          <w:tcPr>
            <w:tcW w:w="3904" w:type="dxa"/>
            <w:shd w:val="clear" w:color="auto" w:fill="FFEFFF"/>
          </w:tcPr>
          <w:p w14:paraId="78D908C9" w14:textId="764B11B3" w:rsidR="008E39B4" w:rsidRPr="00D03F2E" w:rsidRDefault="008E39B4" w:rsidP="0007415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38F301E1" w14:textId="1A8A01AE" w:rsidR="00D37F67" w:rsidRPr="00AB5527" w:rsidRDefault="00AB5527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Cold War </w:t>
            </w:r>
            <w:r w:rsidR="00D37F67"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Unit </w:t>
            </w:r>
            <w:r w:rsidR="00C3290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2</w:t>
            </w:r>
            <w:r w:rsidR="00D37F67"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0E043AA" w14:textId="372B95AE" w:rsidR="00D37F67" w:rsidRPr="00AB5527" w:rsidRDefault="00C32909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Cold War Crises 19</w:t>
            </w:r>
            <w:r w:rsidR="00AB5527" w:rsidRPr="00AB552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58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- 70</w:t>
            </w:r>
          </w:p>
          <w:p w14:paraId="757809B9" w14:textId="565FE20F" w:rsidR="008E39B4" w:rsidRPr="00D03F2E" w:rsidRDefault="008E39B4" w:rsidP="00D37F6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186" w:type="dxa"/>
            <w:shd w:val="clear" w:color="auto" w:fill="FFEFFF"/>
          </w:tcPr>
          <w:p w14:paraId="27BEC184" w14:textId="0CF19653" w:rsidR="00D37F67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C75361B" w14:textId="5CB8016F" w:rsidR="00D37F67" w:rsidRPr="00D03F2E" w:rsidRDefault="00D37F67" w:rsidP="00FE54CF">
            <w:pPr>
              <w:rPr>
                <w:rFonts w:cstheme="minorHAnsi"/>
              </w:rPr>
            </w:pPr>
            <w:r w:rsidRPr="00D03F2E">
              <w:rPr>
                <w:rFonts w:cstheme="minorHAnsi"/>
              </w:rPr>
              <w:t xml:space="preserve">This is the </w:t>
            </w:r>
            <w:r w:rsidR="008A55BD">
              <w:rPr>
                <w:rFonts w:cstheme="minorHAnsi"/>
              </w:rPr>
              <w:t>second</w:t>
            </w:r>
            <w:r w:rsidRPr="00D03F2E">
              <w:rPr>
                <w:rFonts w:cstheme="minorHAnsi"/>
              </w:rPr>
              <w:t xml:space="preserve"> Unit for </w:t>
            </w:r>
            <w:r w:rsidR="00AB5527">
              <w:rPr>
                <w:rFonts w:cstheme="minorHAnsi"/>
              </w:rPr>
              <w:t xml:space="preserve">the Cold War. </w:t>
            </w:r>
            <w:r w:rsidR="008A55BD">
              <w:rPr>
                <w:rFonts w:cstheme="minorHAnsi"/>
              </w:rPr>
              <w:t>It covers how the tension that was building, reached breaking point and the countries had to work together to ensure th</w:t>
            </w:r>
            <w:r w:rsidR="003D7EF5">
              <w:rPr>
                <w:rFonts w:cstheme="minorHAnsi"/>
              </w:rPr>
              <w:t xml:space="preserve">at they did not engage in another full hot war. </w:t>
            </w:r>
          </w:p>
        </w:tc>
        <w:tc>
          <w:tcPr>
            <w:tcW w:w="1668" w:type="dxa"/>
            <w:vMerge w:val="restart"/>
            <w:shd w:val="clear" w:color="auto" w:fill="FFEFFF"/>
          </w:tcPr>
          <w:p w14:paraId="47A991E2" w14:textId="0D249F5B" w:rsidR="008E39B4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D03F2E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CC96D06" w14:textId="7BB65B0E" w:rsidR="00D37F67" w:rsidRPr="00D03F2E" w:rsidRDefault="00D37F67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See Glossary</w:t>
            </w:r>
          </w:p>
          <w:p w14:paraId="1DD019D4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4D59A8D6" w14:textId="17BBF2C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Key People</w:t>
            </w:r>
          </w:p>
          <w:p w14:paraId="52B15AC6" w14:textId="512CCB98" w:rsidR="003D7EF5" w:rsidRDefault="003D7EF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Truman</w:t>
            </w:r>
          </w:p>
          <w:p w14:paraId="6AA9CC73" w14:textId="62278787" w:rsidR="003D7EF5" w:rsidRDefault="003D7EF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Kennedy</w:t>
            </w:r>
          </w:p>
          <w:p w14:paraId="21873B9C" w14:textId="3E8B7A0F" w:rsidR="003D7EF5" w:rsidRDefault="003D7EF5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Khrushchev</w:t>
            </w:r>
          </w:p>
          <w:p w14:paraId="07D66440" w14:textId="7E848BFA" w:rsidR="003D7EF5" w:rsidRDefault="003F3258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Fidel Castro</w:t>
            </w:r>
          </w:p>
          <w:p w14:paraId="3DFAE05E" w14:textId="21B6CEFE" w:rsidR="003F3258" w:rsidRPr="00D03F2E" w:rsidRDefault="006B4730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Alexander Dubcek</w:t>
            </w:r>
          </w:p>
          <w:p w14:paraId="073AF42F" w14:textId="3E0D4E76" w:rsidR="00413E73" w:rsidRPr="00D03F2E" w:rsidRDefault="007421EE" w:rsidP="00FE54CF">
            <w:pPr>
              <w:rPr>
                <w:rFonts w:cstheme="minorHAnsi"/>
                <w:b/>
                <w:bCs/>
                <w:color w:val="522A5B"/>
              </w:rPr>
            </w:pPr>
            <w:r>
              <w:rPr>
                <w:rFonts w:cstheme="minorHAnsi"/>
                <w:b/>
                <w:bCs/>
                <w:color w:val="522A5B"/>
              </w:rPr>
              <w:t>Leonid Brezhnev</w:t>
            </w:r>
          </w:p>
          <w:p w14:paraId="37E8DB4D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67D7E2EA" w14:textId="77777777" w:rsidR="00413E73" w:rsidRPr="00D03F2E" w:rsidRDefault="00413E73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49147324" w14:textId="678A3EEC" w:rsidR="008E39B4" w:rsidRPr="00D03F2E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D03F2E" w14:paraId="70713B32" w14:textId="77777777" w:rsidTr="00D03F2E">
        <w:trPr>
          <w:trHeight w:val="3639"/>
        </w:trPr>
        <w:tc>
          <w:tcPr>
            <w:tcW w:w="9090" w:type="dxa"/>
            <w:gridSpan w:val="2"/>
            <w:shd w:val="clear" w:color="auto" w:fill="FFEFFF"/>
          </w:tcPr>
          <w:p w14:paraId="6D9AD2CC" w14:textId="77777777" w:rsidR="008E39B4" w:rsidRPr="00D03F2E" w:rsidRDefault="008E39B4" w:rsidP="00FE54CF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03F2E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14A52227" w14:textId="77777777" w:rsidR="008A55BD" w:rsidRPr="008A55BD" w:rsidRDefault="008A55BD" w:rsidP="00C3290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A55BD">
              <w:rPr>
                <w:b/>
                <w:bCs/>
                <w:sz w:val="20"/>
                <w:szCs w:val="20"/>
              </w:rPr>
              <w:t xml:space="preserve">1 Increased tension between East and West </w:t>
            </w:r>
          </w:p>
          <w:p w14:paraId="4A874C0A" w14:textId="77777777" w:rsidR="008A55BD" w:rsidRPr="008A55BD" w:rsidRDefault="008A55BD" w:rsidP="008A55BD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The refugee problem in Berlin, Khrushchev’s Berlin ultimatum (1958), and the summit meetings of 1959–61. </w:t>
            </w:r>
          </w:p>
          <w:p w14:paraId="7A445A4C" w14:textId="77777777" w:rsidR="008A55BD" w:rsidRPr="008A55BD" w:rsidRDefault="008A55BD" w:rsidP="008A55BD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Soviet relations with Cuba, the Cuban Revolution and the refusal of the USA to recognise Castro’s government. The significance of the Bay of Pigs incident. </w:t>
            </w:r>
          </w:p>
          <w:p w14:paraId="2C5E0F2D" w14:textId="77777777" w:rsidR="008A55BD" w:rsidRPr="008A55BD" w:rsidRDefault="008A55BD" w:rsidP="008A55BD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Opposition in Czechoslovakia to Soviet control: the Prague Spring. </w:t>
            </w:r>
          </w:p>
          <w:p w14:paraId="3315A9D3" w14:textId="77777777" w:rsidR="008A55BD" w:rsidRPr="008A55BD" w:rsidRDefault="008A55BD" w:rsidP="00C3290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A55BD">
              <w:rPr>
                <w:b/>
                <w:bCs/>
                <w:sz w:val="20"/>
                <w:szCs w:val="20"/>
              </w:rPr>
              <w:t xml:space="preserve">2 Cold War crises </w:t>
            </w:r>
          </w:p>
          <w:p w14:paraId="7837D8F5" w14:textId="77777777" w:rsidR="008A55BD" w:rsidRPr="008A55BD" w:rsidRDefault="008A55BD" w:rsidP="008A55B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The construction of the Berlin Wall, 1961. </w:t>
            </w:r>
          </w:p>
          <w:p w14:paraId="49DC6DE8" w14:textId="77777777" w:rsidR="008A55BD" w:rsidRPr="008A55BD" w:rsidRDefault="008A55BD" w:rsidP="008A55B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The events of the Cuban Missile Crisis. </w:t>
            </w:r>
          </w:p>
          <w:p w14:paraId="1845C9FE" w14:textId="77777777" w:rsidR="008A55BD" w:rsidRPr="008A55BD" w:rsidRDefault="008A55BD" w:rsidP="008A55B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The Brezhnev Doctrine and the re-establishment of Soviet control in Czechoslovakia. </w:t>
            </w:r>
          </w:p>
          <w:p w14:paraId="2E6C241B" w14:textId="77777777" w:rsidR="008A55BD" w:rsidRPr="008A55BD" w:rsidRDefault="008A55BD" w:rsidP="00C3290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A55BD">
              <w:rPr>
                <w:b/>
                <w:bCs/>
                <w:sz w:val="20"/>
                <w:szCs w:val="20"/>
              </w:rPr>
              <w:t xml:space="preserve">3 Reaction to crisis </w:t>
            </w:r>
          </w:p>
          <w:p w14:paraId="35031663" w14:textId="77777777" w:rsidR="008A55BD" w:rsidRPr="008A55BD" w:rsidRDefault="008A55BD" w:rsidP="008A55B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Impact of the construction of the Berlin Wall on US-Soviet relations. Kennedy’s visit to West Berlin in 1963. </w:t>
            </w:r>
          </w:p>
          <w:p w14:paraId="65C30206" w14:textId="77777777" w:rsidR="008A55BD" w:rsidRPr="008A55BD" w:rsidRDefault="008A55BD" w:rsidP="008A55B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8A55BD">
              <w:rPr>
                <w:sz w:val="20"/>
                <w:szCs w:val="20"/>
              </w:rPr>
              <w:t xml:space="preserve">The consequences of the Cuban Missile Crisis, including the ‘hotline’. Attempts at arms control: the Limited Test Ban Treaty (1963); the Outer Space Treaty (1967); and the Nuclear Non-Proliferation Treaty (1968). </w:t>
            </w:r>
          </w:p>
          <w:p w14:paraId="704CD9BE" w14:textId="5080517D" w:rsidR="008E39B4" w:rsidRPr="008A55BD" w:rsidRDefault="008A55BD" w:rsidP="008A55BD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8A55BD">
              <w:rPr>
                <w:sz w:val="20"/>
                <w:szCs w:val="20"/>
              </w:rPr>
              <w:t>International reaction to Soviet measures in Czechoslovakia.</w:t>
            </w:r>
          </w:p>
        </w:tc>
        <w:tc>
          <w:tcPr>
            <w:tcW w:w="1668" w:type="dxa"/>
            <w:vMerge/>
            <w:shd w:val="clear" w:color="auto" w:fill="FFEFFF"/>
          </w:tcPr>
          <w:p w14:paraId="4F4A4CCD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03F2E" w14:paraId="41DD1A54" w14:textId="77777777" w:rsidTr="00B845CB">
        <w:trPr>
          <w:trHeight w:val="4045"/>
        </w:trPr>
        <w:tc>
          <w:tcPr>
            <w:tcW w:w="9090" w:type="dxa"/>
            <w:gridSpan w:val="2"/>
            <w:shd w:val="clear" w:color="auto" w:fill="FFEFFF"/>
          </w:tcPr>
          <w:p w14:paraId="475F471E" w14:textId="0B4F3F51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522A5B"/>
                <w:sz w:val="22"/>
                <w:szCs w:val="22"/>
                <w:u w:val="single"/>
              </w:rPr>
              <w:t>What opportunities are there for wider study?</w:t>
            </w:r>
            <w:r w:rsidRPr="00D03F2E">
              <w:rPr>
                <w:rStyle w:val="eop"/>
                <w:rFonts w:ascii="Calibri" w:hAnsi="Calibri" w:cs="Calibri"/>
                <w:color w:val="522A5B"/>
                <w:sz w:val="22"/>
                <w:szCs w:val="22"/>
              </w:rPr>
              <w:t> </w:t>
            </w:r>
          </w:p>
          <w:p w14:paraId="2D3811E8" w14:textId="77777777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Careers: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060608" w14:textId="77777777" w:rsidR="00413E73" w:rsidRPr="00D03F2E" w:rsidRDefault="00413E7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Doctor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224D2E" w14:textId="33E55178" w:rsidR="00413E73" w:rsidRPr="00B17C03" w:rsidRDefault="00413E7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Journalist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73395D" w14:textId="5903C474" w:rsidR="00B17C03" w:rsidRPr="00D03F2E" w:rsidRDefault="00B17C03" w:rsidP="00413E7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</w:rPr>
              <w:t>International relations</w:t>
            </w:r>
          </w:p>
          <w:p w14:paraId="02A4C031" w14:textId="77777777" w:rsidR="00D03F2E" w:rsidRPr="00D03F2E" w:rsidRDefault="00D03F2E" w:rsidP="00D03F2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33E70F0" w14:textId="30443500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Trips: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7FAB49" w14:textId="51370D38" w:rsidR="00413E73" w:rsidRPr="00B17C03" w:rsidRDefault="00B17C03" w:rsidP="00413E7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17C0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B17C0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erlin Trip</w:t>
            </w:r>
          </w:p>
          <w:p w14:paraId="65DAF259" w14:textId="7AC11216" w:rsidR="00413E73" w:rsidRPr="00D03F2E" w:rsidRDefault="00413E73" w:rsidP="00413E7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Guest Lectures at Chalke Valley History Festival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BDFBFCA" w14:textId="77777777" w:rsidR="00D03F2E" w:rsidRPr="00D03F2E" w:rsidRDefault="00D03F2E" w:rsidP="00D03F2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B903094" w14:textId="77777777" w:rsidR="00413E73" w:rsidRPr="00D03F2E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Further Reading: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5A454FE" w14:textId="66CEB210" w:rsidR="00413E73" w:rsidRPr="004C5E85" w:rsidRDefault="00413E73" w:rsidP="00413E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Pearson </w:t>
            </w:r>
            <w:r w:rsidR="00B17C03"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B17C03" w:rsidRPr="004C5E8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old War</w:t>
            </w:r>
            <w:r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03F2E" w:rsidRPr="004C5E8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Textbook</w:t>
            </w:r>
          </w:p>
          <w:p w14:paraId="707A73FE" w14:textId="77777777" w:rsidR="004C5E85" w:rsidRPr="004C5E85" w:rsidRDefault="00D51E38" w:rsidP="000948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5">
              <w:rPr>
                <w:rFonts w:asciiTheme="minorHAnsi" w:hAnsiTheme="minorHAnsi" w:cstheme="minorHAnsi"/>
                <w:sz w:val="22"/>
                <w:szCs w:val="22"/>
              </w:rPr>
              <w:t>The Cold War</w:t>
            </w:r>
            <w:r w:rsidR="004C5E85" w:rsidRPr="004C5E85">
              <w:rPr>
                <w:rFonts w:asciiTheme="minorHAnsi" w:hAnsiTheme="minorHAnsi" w:cstheme="minorHAnsi"/>
                <w:sz w:val="22"/>
                <w:szCs w:val="22"/>
              </w:rPr>
              <w:t>- Martin Walker</w:t>
            </w:r>
          </w:p>
          <w:p w14:paraId="001E2D6F" w14:textId="0041EC46" w:rsidR="00B845CB" w:rsidRPr="00B845CB" w:rsidRDefault="004C5E85" w:rsidP="00B845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C5E85">
              <w:rPr>
                <w:rFonts w:asciiTheme="minorHAnsi" w:hAnsiTheme="minorHAnsi" w:cstheme="minorHAnsi"/>
                <w:sz w:val="22"/>
                <w:szCs w:val="22"/>
              </w:rPr>
              <w:t>The Cold War- C.B.Jones</w:t>
            </w:r>
          </w:p>
        </w:tc>
        <w:tc>
          <w:tcPr>
            <w:tcW w:w="1668" w:type="dxa"/>
            <w:vMerge/>
            <w:shd w:val="clear" w:color="auto" w:fill="FFEFFF"/>
          </w:tcPr>
          <w:p w14:paraId="20C1B22D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D03F2E" w14:paraId="08B85AF4" w14:textId="77777777" w:rsidTr="00D03F2E">
        <w:trPr>
          <w:trHeight w:val="112"/>
        </w:trPr>
        <w:tc>
          <w:tcPr>
            <w:tcW w:w="9090" w:type="dxa"/>
            <w:gridSpan w:val="2"/>
            <w:shd w:val="clear" w:color="auto" w:fill="FFEFFF"/>
          </w:tcPr>
          <w:p w14:paraId="5A47D04C" w14:textId="77777777" w:rsidR="008E39B4" w:rsidRPr="00D03F2E" w:rsidRDefault="008E39B4" w:rsidP="00FE54CF">
            <w:pPr>
              <w:rPr>
                <w:rFonts w:cstheme="minorHAnsi"/>
                <w:b/>
                <w:bCs/>
                <w:color w:val="461E64"/>
                <w:u w:val="single"/>
              </w:rPr>
            </w:pPr>
            <w:r w:rsidRPr="00D03F2E">
              <w:rPr>
                <w:rFonts w:cstheme="minorHAnsi"/>
                <w:b/>
                <w:bCs/>
                <w:color w:val="461E64"/>
                <w:u w:val="single"/>
              </w:rPr>
              <w:t>How will I be assessed?</w:t>
            </w:r>
          </w:p>
          <w:p w14:paraId="68715E55" w14:textId="1B840050" w:rsidR="00094800" w:rsidRPr="00B845CB" w:rsidRDefault="00B845CB" w:rsidP="0009480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845CB">
              <w:rPr>
                <w:rFonts w:asciiTheme="minorHAnsi" w:hAnsiTheme="minorHAnsi" w:cstheme="minorHAnsi"/>
                <w:sz w:val="22"/>
                <w:szCs w:val="22"/>
              </w:rPr>
              <w:t>8 mark exam questions in class</w:t>
            </w:r>
          </w:p>
          <w:p w14:paraId="7C953E82" w14:textId="4D6BB868" w:rsidR="00811F13" w:rsidRPr="00D03F2E" w:rsidRDefault="00094800" w:rsidP="00D03F2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Regular Knowledge Tests</w:t>
            </w:r>
            <w:r w:rsidRP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03F2E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and </w:t>
            </w:r>
            <w:r w:rsidRPr="00D03F2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Seneca completion</w:t>
            </w:r>
          </w:p>
        </w:tc>
        <w:tc>
          <w:tcPr>
            <w:tcW w:w="1668" w:type="dxa"/>
            <w:vMerge/>
            <w:shd w:val="clear" w:color="auto" w:fill="FFEFFF"/>
          </w:tcPr>
          <w:p w14:paraId="048BF811" w14:textId="77777777" w:rsidR="008E39B4" w:rsidRPr="00D03F2E" w:rsidRDefault="008E39B4" w:rsidP="00FE54CF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Pr="00D03F2E" w:rsidRDefault="004D65C9" w:rsidP="008E39B4"/>
    <w:sectPr w:rsidR="0053445E" w:rsidRPr="00D03F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E822F" w14:textId="77777777" w:rsidR="004D65C9" w:rsidRDefault="004D65C9" w:rsidP="00017B74">
      <w:pPr>
        <w:spacing w:after="0" w:line="240" w:lineRule="auto"/>
      </w:pPr>
      <w:r>
        <w:separator/>
      </w:r>
    </w:p>
  </w:endnote>
  <w:endnote w:type="continuationSeparator" w:id="0">
    <w:p w14:paraId="5A00559C" w14:textId="77777777" w:rsidR="004D65C9" w:rsidRDefault="004D65C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D23B7" w14:textId="77777777" w:rsidR="004D65C9" w:rsidRDefault="004D65C9" w:rsidP="00017B74">
      <w:pPr>
        <w:spacing w:after="0" w:line="240" w:lineRule="auto"/>
      </w:pPr>
      <w:r>
        <w:separator/>
      </w:r>
    </w:p>
  </w:footnote>
  <w:footnote w:type="continuationSeparator" w:id="0">
    <w:p w14:paraId="62732ABD" w14:textId="77777777" w:rsidR="004D65C9" w:rsidRDefault="004D65C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432843E2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368300"/>
          <wp:effectExtent l="0" t="0" r="9525" b="0"/>
          <wp:wrapTight wrapText="bothSides">
            <wp:wrapPolygon edited="0">
              <wp:start x="342" y="0"/>
              <wp:lineTo x="0" y="3352"/>
              <wp:lineTo x="0" y="15641"/>
              <wp:lineTo x="684" y="20110"/>
              <wp:lineTo x="6383" y="20110"/>
              <wp:lineTo x="21543" y="17876"/>
              <wp:lineTo x="21543" y="0"/>
              <wp:lineTo x="14932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36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15786"/>
    <w:multiLevelType w:val="hybridMultilevel"/>
    <w:tmpl w:val="FB30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E7DB5"/>
    <w:multiLevelType w:val="hybridMultilevel"/>
    <w:tmpl w:val="D57E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9D42F8"/>
    <w:multiLevelType w:val="multilevel"/>
    <w:tmpl w:val="B3E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66B88"/>
    <w:multiLevelType w:val="multilevel"/>
    <w:tmpl w:val="36D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96B45"/>
    <w:multiLevelType w:val="multilevel"/>
    <w:tmpl w:val="223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F0CB2"/>
    <w:multiLevelType w:val="hybridMultilevel"/>
    <w:tmpl w:val="920E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056876"/>
    <w:multiLevelType w:val="hybridMultilevel"/>
    <w:tmpl w:val="974C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3529FD"/>
    <w:multiLevelType w:val="multilevel"/>
    <w:tmpl w:val="1F0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27699"/>
    <w:multiLevelType w:val="multilevel"/>
    <w:tmpl w:val="2C7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82229E"/>
    <w:multiLevelType w:val="multilevel"/>
    <w:tmpl w:val="976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7B2653"/>
    <w:multiLevelType w:val="multilevel"/>
    <w:tmpl w:val="FEF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736DB9"/>
    <w:multiLevelType w:val="hybridMultilevel"/>
    <w:tmpl w:val="60F2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332945"/>
    <w:multiLevelType w:val="multilevel"/>
    <w:tmpl w:val="FFA2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B35DA"/>
    <w:multiLevelType w:val="hybridMultilevel"/>
    <w:tmpl w:val="5E1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4800"/>
    <w:rsid w:val="000B21AB"/>
    <w:rsid w:val="0015513D"/>
    <w:rsid w:val="002B0167"/>
    <w:rsid w:val="00311B37"/>
    <w:rsid w:val="003D7EF5"/>
    <w:rsid w:val="003E6B6F"/>
    <w:rsid w:val="003F3258"/>
    <w:rsid w:val="00413E73"/>
    <w:rsid w:val="004306E1"/>
    <w:rsid w:val="00440E6C"/>
    <w:rsid w:val="00487E07"/>
    <w:rsid w:val="004C5E85"/>
    <w:rsid w:val="004D65C9"/>
    <w:rsid w:val="005F4E99"/>
    <w:rsid w:val="00663734"/>
    <w:rsid w:val="006B4730"/>
    <w:rsid w:val="006F65E4"/>
    <w:rsid w:val="007146EF"/>
    <w:rsid w:val="007421EE"/>
    <w:rsid w:val="00775427"/>
    <w:rsid w:val="007F7E0C"/>
    <w:rsid w:val="00811F13"/>
    <w:rsid w:val="0083335D"/>
    <w:rsid w:val="00847F4E"/>
    <w:rsid w:val="00867D25"/>
    <w:rsid w:val="008A55BD"/>
    <w:rsid w:val="008B1952"/>
    <w:rsid w:val="008E39B4"/>
    <w:rsid w:val="009C6330"/>
    <w:rsid w:val="00A23F48"/>
    <w:rsid w:val="00A314F1"/>
    <w:rsid w:val="00AB5527"/>
    <w:rsid w:val="00B17C03"/>
    <w:rsid w:val="00B845CB"/>
    <w:rsid w:val="00BA646E"/>
    <w:rsid w:val="00C32909"/>
    <w:rsid w:val="00CA59AB"/>
    <w:rsid w:val="00D03F2E"/>
    <w:rsid w:val="00D37F67"/>
    <w:rsid w:val="00D51E38"/>
    <w:rsid w:val="00DB0006"/>
    <w:rsid w:val="00DC23A5"/>
    <w:rsid w:val="00E5371A"/>
    <w:rsid w:val="00E81059"/>
    <w:rsid w:val="00F43D58"/>
    <w:rsid w:val="00F7444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paragraph">
    <w:name w:val="paragraph"/>
    <w:basedOn w:val="Normal"/>
    <w:rsid w:val="00D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7F67"/>
  </w:style>
  <w:style w:type="character" w:customStyle="1" w:styleId="eop">
    <w:name w:val="eop"/>
    <w:basedOn w:val="DefaultParagraphFont"/>
    <w:rsid w:val="00D3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8</cp:revision>
  <dcterms:created xsi:type="dcterms:W3CDTF">2022-06-29T10:46:00Z</dcterms:created>
  <dcterms:modified xsi:type="dcterms:W3CDTF">2022-06-29T10:51:00Z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